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B974F" w14:textId="77777777" w:rsidR="00C253C4" w:rsidRPr="00C253C4" w:rsidRDefault="00C253C4" w:rsidP="00920338">
      <w:pPr>
        <w:pStyle w:val="sangrado2"/>
        <w:spacing w:before="120" w:after="120"/>
        <w:jc w:val="both"/>
        <w:rPr>
          <w:rFonts w:ascii="Arial" w:hAnsi="Arial" w:cs="Arial"/>
          <w:b/>
          <w:caps/>
          <w:sz w:val="20"/>
          <w:szCs w:val="20"/>
        </w:rPr>
      </w:pPr>
      <w:r>
        <w:rPr>
          <w:rFonts w:ascii="Arial" w:hAnsi="Arial" w:cs="Arial"/>
          <w:b/>
          <w:caps/>
          <w:sz w:val="20"/>
          <w:szCs w:val="20"/>
        </w:rPr>
        <w:tab/>
      </w:r>
      <w:r>
        <w:rPr>
          <w:rFonts w:ascii="Arial" w:hAnsi="Arial" w:cs="Arial"/>
          <w:b/>
          <w:caps/>
          <w:sz w:val="20"/>
          <w:szCs w:val="20"/>
        </w:rPr>
        <w:tab/>
      </w:r>
      <w:r>
        <w:rPr>
          <w:rFonts w:ascii="Arial" w:hAnsi="Arial" w:cs="Arial"/>
          <w:b/>
          <w:caps/>
          <w:sz w:val="20"/>
          <w:szCs w:val="20"/>
        </w:rPr>
        <w:tab/>
        <w:t>anexo i</w:t>
      </w:r>
    </w:p>
    <w:p w14:paraId="74D8AF6D" w14:textId="77777777" w:rsidR="00C253C4" w:rsidRDefault="00C253C4" w:rsidP="00920338">
      <w:pPr>
        <w:pStyle w:val="sangrado2"/>
        <w:spacing w:before="120" w:after="120"/>
        <w:jc w:val="both"/>
        <w:rPr>
          <w:rFonts w:ascii="Arial" w:hAnsi="Arial" w:cs="Arial"/>
          <w:b/>
          <w:caps/>
          <w:sz w:val="20"/>
          <w:szCs w:val="20"/>
          <w:u w:val="single"/>
        </w:rPr>
      </w:pPr>
    </w:p>
    <w:p w14:paraId="37CEE102" w14:textId="77777777" w:rsidR="003F1482" w:rsidRDefault="00AE42C7" w:rsidP="00920338">
      <w:pPr>
        <w:pStyle w:val="sangrado2"/>
        <w:spacing w:before="120" w:after="120"/>
        <w:jc w:val="both"/>
        <w:rPr>
          <w:rFonts w:ascii="Arial" w:hAnsi="Arial" w:cs="Arial"/>
          <w:b/>
          <w:caps/>
          <w:sz w:val="20"/>
          <w:szCs w:val="20"/>
          <w:u w:val="single"/>
        </w:rPr>
      </w:pPr>
      <w:r w:rsidRPr="00920338">
        <w:rPr>
          <w:rFonts w:ascii="Arial" w:hAnsi="Arial" w:cs="Arial"/>
          <w:b/>
          <w:caps/>
          <w:sz w:val="20"/>
          <w:szCs w:val="20"/>
          <w:u w:val="single"/>
        </w:rPr>
        <w:t>Formulario de información normalizada pa</w:t>
      </w:r>
      <w:r w:rsidR="003F1482">
        <w:rPr>
          <w:rFonts w:ascii="Arial" w:hAnsi="Arial" w:cs="Arial"/>
          <w:b/>
          <w:caps/>
          <w:sz w:val="20"/>
          <w:szCs w:val="20"/>
          <w:u w:val="single"/>
        </w:rPr>
        <w:t xml:space="preserve">ra contratos de viaje combinado </w:t>
      </w:r>
    </w:p>
    <w:p w14:paraId="169ADFAC" w14:textId="77777777" w:rsidR="00920338" w:rsidRDefault="00920338" w:rsidP="00195C6B">
      <w:pPr>
        <w:pStyle w:val="sangrado2"/>
        <w:spacing w:before="120" w:after="120"/>
        <w:jc w:val="both"/>
        <w:rPr>
          <w:rFonts w:ascii="Arial" w:hAnsi="Arial" w:cs="Arial"/>
          <w:sz w:val="20"/>
          <w:szCs w:val="20"/>
        </w:rPr>
      </w:pPr>
    </w:p>
    <w:p w14:paraId="4E838A12" w14:textId="77777777" w:rsidR="00AE42C7" w:rsidRPr="00595ECE" w:rsidRDefault="00AE42C7" w:rsidP="00195C6B">
      <w:pPr>
        <w:pStyle w:val="sangrado2"/>
        <w:spacing w:before="120" w:after="120"/>
        <w:jc w:val="both"/>
        <w:rPr>
          <w:rFonts w:ascii="Arial" w:hAnsi="Arial" w:cs="Arial"/>
          <w:sz w:val="20"/>
          <w:szCs w:val="20"/>
        </w:rPr>
      </w:pPr>
      <w:r w:rsidRPr="00595ECE">
        <w:rPr>
          <w:rFonts w:ascii="Arial" w:hAnsi="Arial" w:cs="Arial"/>
          <w:sz w:val="20"/>
          <w:szCs w:val="20"/>
        </w:rPr>
        <w:t>La combinación de servicios de viaje que se le ofrece es un viaje combinado en el sentido del texto refundido de la Ley General para la Defensa de los Consumidores y Usuarios y otras leyes complementarias, aprobado por Real Decreto Legislativo 1/2007, de 16 de noviembre.</w:t>
      </w:r>
    </w:p>
    <w:p w14:paraId="2754C469" w14:textId="77777777" w:rsidR="00AE42C7" w:rsidRPr="00595ECE" w:rsidRDefault="00AE42C7" w:rsidP="00195C6B">
      <w:pPr>
        <w:pStyle w:val="sangrado"/>
        <w:spacing w:before="120" w:after="120"/>
        <w:jc w:val="both"/>
        <w:rPr>
          <w:rFonts w:ascii="Arial" w:hAnsi="Arial" w:cs="Arial"/>
          <w:sz w:val="20"/>
          <w:szCs w:val="20"/>
        </w:rPr>
      </w:pPr>
      <w:r w:rsidRPr="00595ECE">
        <w:rPr>
          <w:rFonts w:ascii="Arial" w:hAnsi="Arial" w:cs="Arial"/>
          <w:sz w:val="20"/>
          <w:szCs w:val="20"/>
        </w:rPr>
        <w:t>Por lo tanto, usted gozará de todos los derechos que se aplican en el marco de la Unión Europea a los viajes combinados</w:t>
      </w:r>
      <w:r w:rsidR="001560F8">
        <w:rPr>
          <w:rFonts w:ascii="Arial" w:hAnsi="Arial" w:cs="Arial"/>
          <w:sz w:val="20"/>
          <w:szCs w:val="20"/>
        </w:rPr>
        <w:t xml:space="preserve">, </w:t>
      </w:r>
      <w:r w:rsidR="001560F8">
        <w:rPr>
          <w:rFonts w:ascii="Arial" w:hAnsi="Arial" w:cs="Arial"/>
          <w:i/>
          <w:sz w:val="20"/>
          <w:szCs w:val="20"/>
          <w:u w:val="single"/>
        </w:rPr>
        <w:t>IXION TRAVEL, S.L</w:t>
      </w:r>
      <w:r w:rsidR="00701D84" w:rsidRPr="00FD23FD">
        <w:rPr>
          <w:rFonts w:ascii="Arial" w:hAnsi="Arial" w:cs="Arial"/>
          <w:i/>
          <w:sz w:val="20"/>
          <w:szCs w:val="20"/>
          <w:u w:val="single"/>
        </w:rPr>
        <w:t>.</w:t>
      </w:r>
      <w:r w:rsidR="00701D84">
        <w:rPr>
          <w:rFonts w:ascii="Arial" w:hAnsi="Arial" w:cs="Arial"/>
          <w:sz w:val="20"/>
          <w:szCs w:val="20"/>
        </w:rPr>
        <w:t xml:space="preserve"> </w:t>
      </w:r>
      <w:r w:rsidRPr="00595ECE">
        <w:rPr>
          <w:rFonts w:ascii="Arial" w:hAnsi="Arial" w:cs="Arial"/>
          <w:sz w:val="20"/>
          <w:szCs w:val="20"/>
        </w:rPr>
        <w:t>será plenamente responsable de la correcta ejecución del viaje combinado en su conjunto.</w:t>
      </w:r>
    </w:p>
    <w:p w14:paraId="79FFAAE3" w14:textId="77777777" w:rsidR="00AE42C7" w:rsidRPr="00595ECE" w:rsidRDefault="00AE42C7" w:rsidP="00195C6B">
      <w:pPr>
        <w:pStyle w:val="sangrado"/>
        <w:spacing w:before="120" w:after="120"/>
        <w:jc w:val="both"/>
        <w:rPr>
          <w:rFonts w:ascii="Arial" w:hAnsi="Arial" w:cs="Arial"/>
          <w:sz w:val="20"/>
          <w:szCs w:val="20"/>
        </w:rPr>
      </w:pPr>
      <w:r w:rsidRPr="00595ECE">
        <w:rPr>
          <w:rFonts w:ascii="Arial" w:hAnsi="Arial" w:cs="Arial"/>
          <w:sz w:val="20"/>
          <w:szCs w:val="20"/>
        </w:rPr>
        <w:t>Además, como exige l</w:t>
      </w:r>
      <w:r w:rsidR="00701D84">
        <w:rPr>
          <w:rFonts w:ascii="Arial" w:hAnsi="Arial" w:cs="Arial"/>
          <w:sz w:val="20"/>
          <w:szCs w:val="20"/>
        </w:rPr>
        <w:t xml:space="preserve">a legislación, </w:t>
      </w:r>
      <w:r w:rsidR="001560F8">
        <w:rPr>
          <w:rFonts w:ascii="Arial" w:hAnsi="Arial" w:cs="Arial"/>
          <w:i/>
          <w:sz w:val="20"/>
          <w:szCs w:val="20"/>
          <w:u w:val="single"/>
        </w:rPr>
        <w:t>IXION TRAVEL, S.L</w:t>
      </w:r>
      <w:r w:rsidR="00701D84" w:rsidRPr="00FD23FD">
        <w:rPr>
          <w:rFonts w:ascii="Arial" w:hAnsi="Arial" w:cs="Arial"/>
          <w:i/>
          <w:sz w:val="20"/>
          <w:szCs w:val="20"/>
          <w:u w:val="single"/>
        </w:rPr>
        <w:t>.</w:t>
      </w:r>
      <w:r w:rsidR="00701D84">
        <w:rPr>
          <w:rFonts w:ascii="Arial" w:hAnsi="Arial" w:cs="Arial"/>
          <w:sz w:val="20"/>
          <w:szCs w:val="20"/>
        </w:rPr>
        <w:t xml:space="preserve"> </w:t>
      </w:r>
      <w:r w:rsidRPr="00595ECE">
        <w:rPr>
          <w:rFonts w:ascii="Arial" w:hAnsi="Arial" w:cs="Arial"/>
          <w:sz w:val="20"/>
          <w:szCs w:val="20"/>
        </w:rPr>
        <w:t>está cubierta por una garantía para reembolsarle los pagos realizados y, si el transporte está incluido en el viaje, asegurar su repatriación en caso de que incurra en insolvencia.</w:t>
      </w:r>
    </w:p>
    <w:p w14:paraId="604BAFE3" w14:textId="77777777" w:rsidR="00AE42C7" w:rsidRPr="00595ECE" w:rsidRDefault="00AE42C7" w:rsidP="00195C6B">
      <w:pPr>
        <w:pStyle w:val="sangrado2"/>
        <w:spacing w:before="120" w:after="120"/>
        <w:jc w:val="both"/>
        <w:rPr>
          <w:rFonts w:ascii="Arial" w:hAnsi="Arial" w:cs="Arial"/>
          <w:sz w:val="20"/>
          <w:szCs w:val="20"/>
        </w:rPr>
      </w:pPr>
      <w:r w:rsidRPr="00595ECE">
        <w:rPr>
          <w:rFonts w:ascii="Arial" w:hAnsi="Arial" w:cs="Arial"/>
          <w:sz w:val="20"/>
          <w:szCs w:val="20"/>
        </w:rPr>
        <w:t>Principales derechos en virtud del texto refundido de la Ley General para la Defensa de los Consumidores y Usuarios y otras leyes complementarias, aprobado por Real Decreto Legislativo 1/2007, de 16 de noviembre:</w:t>
      </w:r>
    </w:p>
    <w:p w14:paraId="52A7872F"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t>Los viajeros recibirán toda la información esencial sobre el viaje combinado antes de celebrar el contrato de viaje combinado.</w:t>
      </w:r>
    </w:p>
    <w:p w14:paraId="7FF9E93E"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t>Siempre habrá como mínimo un empresario responsable de la correcta ejecución de todos los servicios de viaje incluidos en el contrato.</w:t>
      </w:r>
    </w:p>
    <w:p w14:paraId="3175E131"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t>Se proporcionará a los viajeros un número de teléfono de emergencia o los datos de un punto de contacto donde puedan contactar con el organizador y, en su caso, con el minorista.</w:t>
      </w:r>
    </w:p>
    <w:p w14:paraId="124CDD69"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t>Los viajeros podrán ceder el viaje combinado a otra persona, con un preaviso razonable y, en su caso, con sujeción al pago de gastos adicionales.</w:t>
      </w:r>
    </w:p>
    <w:p w14:paraId="29D6B8FF"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t>El precio del viaje combinado solo se podrá aumentar si se producen gastos específicos (por ejemplo, en los precios de combustible) y está expresamente estipulado en el contrato, y en ningún caso en los últimos veinte días anteriores al inicio del viaje combinado. Si el aumento de precio excede del ocho por ciento del precio del viaje combinado, el viajero podrá poner fin al contrato. Si el organizador se reserva el derecho de aumentar el precio, el viajero tendrá derecho a una reducción del precio si disminuyen los gastos correspondientes.</w:t>
      </w:r>
    </w:p>
    <w:p w14:paraId="2D83DCCA"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t>Los viajeros podrán poner fin al contrato sin pagar ninguna penalización y obtener el reembolso completo de todos los pagos realizados si se modifica significativamente alguno de los elementos esenciales del viaje combinado que no sea el precio. Si el empresario responsable del viaje combinado lo cancela antes de su inicio, los viajeros tendrán derecho al reembolso de los pagos realizados y, cuando proceda, a una compensación.</w:t>
      </w:r>
    </w:p>
    <w:p w14:paraId="36B9F62B"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t>En circunstancias excepcionales, por ejemplo en caso de que en el lugar de destino existan graves problemas de seguridad que puedan afectar al viaje combinado, los viajeros podrán poner fin al contrato antes del inicio del viaje combinado, sin pagar ninguna penalización.</w:t>
      </w:r>
    </w:p>
    <w:p w14:paraId="17259FB9"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t>Además, los viajeros podrán poner fin al contrato en cualquier momento antes del inicio del viaje combinado mediante el pago de una penalización por terminación que sea adecuada y justificable.</w:t>
      </w:r>
    </w:p>
    <w:p w14:paraId="196D365B"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t>Si, después del inicio del viaje combinado, no pueden prestarse elementos significativos del mismo, deberán ofrecerse al viajero fórmulas alternativas adecuadas, sin coste adicional. Los viajeros podrán poner fin al contrato sin pagar ninguna penalización en caso de no ejecución de los servicios cuando ello afecte sustancialmente a la ejecución del viaje combinado y el organizador y, en su caso, el minorista no consigan solucionar el problema.</w:t>
      </w:r>
    </w:p>
    <w:p w14:paraId="0DCAF2BD"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lastRenderedPageBreak/>
        <w:t>Los viajeros también tendrán derecho a una reducción del precio y/o a una indemnización por daños y perjuicios en caso de no ejecución o ejecución incorrecta de los servicios de viaje.</w:t>
      </w:r>
    </w:p>
    <w:p w14:paraId="3DCF008C" w14:textId="77777777" w:rsidR="00AE42C7" w:rsidRPr="00595ECE" w:rsidRDefault="00AE42C7" w:rsidP="00195C6B">
      <w:pPr>
        <w:pStyle w:val="sangrado2"/>
        <w:numPr>
          <w:ilvl w:val="0"/>
          <w:numId w:val="1"/>
        </w:numPr>
        <w:spacing w:before="120" w:after="120"/>
        <w:jc w:val="both"/>
        <w:rPr>
          <w:rFonts w:ascii="Arial" w:hAnsi="Arial" w:cs="Arial"/>
          <w:sz w:val="20"/>
          <w:szCs w:val="20"/>
        </w:rPr>
      </w:pPr>
      <w:r w:rsidRPr="00595ECE">
        <w:rPr>
          <w:rFonts w:ascii="Arial" w:hAnsi="Arial" w:cs="Arial"/>
          <w:sz w:val="20"/>
          <w:szCs w:val="20"/>
        </w:rPr>
        <w:t>El organizador y el minorista deberán proporcionar asistencia al viajero en caso de que este se encuentre en dificultades.</w:t>
      </w:r>
    </w:p>
    <w:p w14:paraId="4954C410" w14:textId="77777777" w:rsidR="00AA76BD" w:rsidRPr="00EE10D8" w:rsidRDefault="00455568" w:rsidP="00AA76BD">
      <w:pPr>
        <w:pStyle w:val="sangrado2"/>
        <w:numPr>
          <w:ilvl w:val="0"/>
          <w:numId w:val="1"/>
        </w:numPr>
        <w:spacing w:before="120" w:after="120"/>
        <w:jc w:val="both"/>
        <w:rPr>
          <w:rFonts w:ascii="Arial" w:hAnsi="Arial" w:cs="Arial"/>
          <w:sz w:val="20"/>
          <w:szCs w:val="20"/>
        </w:rPr>
      </w:pPr>
      <w:r w:rsidRPr="00EE10D8">
        <w:rPr>
          <w:rFonts w:ascii="Arial" w:hAnsi="Arial" w:cs="Arial"/>
          <w:sz w:val="20"/>
          <w:szCs w:val="20"/>
        </w:rPr>
        <w:t xml:space="preserve">Si el organizador o el minorista incurren en insolvencia se procederá al reembolso de los pagos. En caso de que el organizador o, en su caso, el minorista incurran en insolvencia después del inicio del viaje combinado y este incluya el transporte, se garantizará la repatriación de los viajeros. </w:t>
      </w:r>
      <w:r w:rsidR="001560F8">
        <w:rPr>
          <w:rFonts w:ascii="Arial" w:hAnsi="Arial" w:cs="Arial"/>
          <w:i/>
          <w:sz w:val="20"/>
          <w:szCs w:val="20"/>
          <w:u w:val="single"/>
        </w:rPr>
        <w:t>IXION TRAVEL, S.L</w:t>
      </w:r>
      <w:r w:rsidR="00EE10D8" w:rsidRPr="00FD23FD">
        <w:rPr>
          <w:rFonts w:ascii="Arial" w:hAnsi="Arial" w:cs="Arial"/>
          <w:i/>
          <w:sz w:val="20"/>
          <w:szCs w:val="20"/>
          <w:u w:val="single"/>
        </w:rPr>
        <w:t>.</w:t>
      </w:r>
      <w:r w:rsidRPr="00EE10D8">
        <w:rPr>
          <w:rFonts w:ascii="Arial" w:hAnsi="Arial" w:cs="Arial"/>
          <w:sz w:val="20"/>
          <w:szCs w:val="20"/>
        </w:rPr>
        <w:t xml:space="preserve"> ha suscrito una garantía de protección frente a la insolvencia con</w:t>
      </w:r>
      <w:r w:rsidR="001560F8">
        <w:rPr>
          <w:rFonts w:ascii="Arial" w:hAnsi="Arial" w:cs="Arial"/>
          <w:sz w:val="20"/>
          <w:szCs w:val="20"/>
        </w:rPr>
        <w:t xml:space="preserve"> AXA SEGUROS GENERALES, SOCIEDAD ANONIMA DE SEGUROS Y REASEGUROS con numero de póliza 82476056, a través de T.F.M CORREDURIA DE SEGUROS, S.L.  </w:t>
      </w:r>
      <w:r w:rsidRPr="00EE10D8">
        <w:rPr>
          <w:rFonts w:ascii="Arial" w:hAnsi="Arial" w:cs="Arial"/>
          <w:sz w:val="20"/>
          <w:szCs w:val="20"/>
        </w:rPr>
        <w:t xml:space="preserve">Si se deniegan servicios debido a la insolvencia de </w:t>
      </w:r>
      <w:r w:rsidR="001560F8">
        <w:rPr>
          <w:rFonts w:ascii="Arial" w:hAnsi="Arial" w:cs="Arial"/>
          <w:i/>
          <w:sz w:val="20"/>
          <w:szCs w:val="20"/>
          <w:u w:val="single"/>
        </w:rPr>
        <w:t>IXION TRAVEL</w:t>
      </w:r>
      <w:r w:rsidR="00EE10D8" w:rsidRPr="00FD23FD">
        <w:rPr>
          <w:rFonts w:ascii="Arial" w:hAnsi="Arial" w:cs="Arial"/>
          <w:i/>
          <w:sz w:val="20"/>
          <w:szCs w:val="20"/>
          <w:u w:val="single"/>
        </w:rPr>
        <w:t>.</w:t>
      </w:r>
      <w:r w:rsidRPr="00EE10D8">
        <w:rPr>
          <w:rFonts w:ascii="Arial" w:hAnsi="Arial" w:cs="Arial"/>
          <w:sz w:val="20"/>
          <w:szCs w:val="20"/>
        </w:rPr>
        <w:t>, los viajeros podrán ponerse en contacto con dicha e</w:t>
      </w:r>
      <w:r w:rsidR="001039E4">
        <w:rPr>
          <w:rFonts w:ascii="Arial" w:hAnsi="Arial" w:cs="Arial"/>
          <w:sz w:val="20"/>
          <w:szCs w:val="20"/>
        </w:rPr>
        <w:t xml:space="preserve">ntidad </w:t>
      </w:r>
      <w:r w:rsidR="001039E4" w:rsidRPr="00FD23FD">
        <w:rPr>
          <w:rFonts w:ascii="Arial" w:hAnsi="Arial" w:cs="Arial"/>
          <w:sz w:val="20"/>
          <w:szCs w:val="20"/>
        </w:rPr>
        <w:t>(</w:t>
      </w:r>
      <w:r w:rsidR="001039E4" w:rsidRPr="001039E4">
        <w:rPr>
          <w:rFonts w:ascii="Arial" w:hAnsi="Arial" w:cs="Arial"/>
          <w:sz w:val="20"/>
          <w:szCs w:val="20"/>
        </w:rPr>
        <w:t>)</w:t>
      </w:r>
      <w:r w:rsidR="001039E4">
        <w:rPr>
          <w:rFonts w:ascii="Arial" w:hAnsi="Arial" w:cs="Arial"/>
          <w:sz w:val="20"/>
          <w:szCs w:val="20"/>
        </w:rPr>
        <w:t xml:space="preserve">, </w:t>
      </w:r>
      <w:r w:rsidR="001039E4" w:rsidRPr="00EE10D8">
        <w:rPr>
          <w:rFonts w:ascii="Arial" w:hAnsi="Arial" w:cs="Arial"/>
          <w:sz w:val="20"/>
          <w:szCs w:val="20"/>
        </w:rPr>
        <w:t>o en su caso, con la autoridad</w:t>
      </w:r>
      <w:r w:rsidR="001039E4">
        <w:rPr>
          <w:rFonts w:ascii="Arial" w:hAnsi="Arial" w:cs="Arial"/>
          <w:sz w:val="20"/>
          <w:szCs w:val="20"/>
        </w:rPr>
        <w:t xml:space="preserve"> competente</w:t>
      </w:r>
      <w:r w:rsidR="00DB36E0" w:rsidRPr="00DB36E0">
        <w:rPr>
          <w:rFonts w:ascii="Arial" w:hAnsi="Arial" w:cs="Arial"/>
          <w:sz w:val="20"/>
          <w:szCs w:val="20"/>
        </w:rPr>
        <w:t>.</w:t>
      </w:r>
      <w:r w:rsidR="00AE42C7" w:rsidRPr="00EE10D8">
        <w:rPr>
          <w:rFonts w:ascii="Arial" w:hAnsi="Arial" w:cs="Arial"/>
          <w:sz w:val="20"/>
          <w:szCs w:val="20"/>
        </w:rPr>
        <w:t xml:space="preserve">Texto refundido de la Ley General para la Defensa de los Consumidores y Usuarios y otras leyes complementarias, aprobado por Real Decreto Legislativo 1/2007, de 16 de noviembre </w:t>
      </w:r>
      <w:r w:rsidR="00AA76BD" w:rsidRPr="00EE10D8">
        <w:rPr>
          <w:rFonts w:ascii="Arial" w:hAnsi="Arial" w:cs="Arial"/>
          <w:sz w:val="20"/>
          <w:szCs w:val="20"/>
        </w:rPr>
        <w:t>(</w:t>
      </w:r>
      <w:hyperlink r:id="rId5" w:history="1">
        <w:r w:rsidR="00E63F6A" w:rsidRPr="00EE10D8">
          <w:rPr>
            <w:rStyle w:val="Hipervnculo"/>
            <w:rFonts w:ascii="Arial" w:hAnsi="Arial" w:cs="Arial"/>
            <w:sz w:val="20"/>
            <w:szCs w:val="20"/>
          </w:rPr>
          <w:t>https://www.boe.es/buscar/act.php?id=BOE-A-2007-20555</w:t>
        </w:r>
      </w:hyperlink>
      <w:r w:rsidR="00AA76BD" w:rsidRPr="00EE10D8">
        <w:rPr>
          <w:rFonts w:ascii="Arial" w:hAnsi="Arial" w:cs="Arial"/>
          <w:sz w:val="20"/>
          <w:szCs w:val="20"/>
        </w:rPr>
        <w:t>).</w:t>
      </w:r>
    </w:p>
    <w:p w14:paraId="53F28569" w14:textId="77777777" w:rsidR="00E63F6A" w:rsidRPr="00595ECE" w:rsidRDefault="00E63F6A" w:rsidP="00AA76BD">
      <w:pPr>
        <w:pStyle w:val="sangrado2"/>
        <w:spacing w:before="120" w:after="120"/>
        <w:jc w:val="both"/>
        <w:rPr>
          <w:rFonts w:ascii="Arial" w:hAnsi="Arial" w:cs="Arial"/>
          <w:sz w:val="20"/>
          <w:szCs w:val="20"/>
        </w:rPr>
      </w:pPr>
    </w:p>
    <w:p w14:paraId="19F4E0B1" w14:textId="77777777" w:rsidR="007C7DA0" w:rsidRPr="00195C6B" w:rsidRDefault="007C7DA0" w:rsidP="00195C6B">
      <w:pPr>
        <w:jc w:val="both"/>
        <w:rPr>
          <w:rFonts w:ascii="Arial" w:hAnsi="Arial" w:cs="Arial"/>
          <w:sz w:val="20"/>
          <w:szCs w:val="20"/>
        </w:rPr>
      </w:pPr>
    </w:p>
    <w:sectPr w:rsidR="007C7DA0" w:rsidRPr="00195C6B">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708"/>
    <w:multiLevelType w:val="multilevel"/>
    <w:tmpl w:val="7A34C360"/>
    <w:lvl w:ilvl="0">
      <w:numFmt w:val="bullet"/>
      <w:lvlText w:val="-"/>
      <w:lvlJc w:val="left"/>
      <w:pPr>
        <w:ind w:left="720" w:hanging="360"/>
      </w:pPr>
      <w:rPr>
        <w:rFonts w:ascii="Arial" w:eastAsia="Times New Roman" w:hAnsi="Aria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C997609"/>
    <w:multiLevelType w:val="hybridMultilevel"/>
    <w:tmpl w:val="C3DA3F7A"/>
    <w:lvl w:ilvl="0" w:tplc="6C8CCAB2">
      <w:start w:val="8960"/>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D4D3E37"/>
    <w:multiLevelType w:val="hybridMultilevel"/>
    <w:tmpl w:val="A7087688"/>
    <w:lvl w:ilvl="0" w:tplc="2FA4020A">
      <w:start w:val="1"/>
      <w:numFmt w:val="upperLetter"/>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7C644C70"/>
    <w:multiLevelType w:val="hybridMultilevel"/>
    <w:tmpl w:val="153ADAB0"/>
    <w:lvl w:ilvl="0" w:tplc="D4FA115A">
      <w:start w:val="3"/>
      <w:numFmt w:val="upperLetter"/>
      <w:lvlText w:val="%1)"/>
      <w:lvlJc w:val="left"/>
      <w:pPr>
        <w:ind w:left="720" w:hanging="360"/>
      </w:pPr>
      <w:rPr>
        <w:rFonts w:eastAsia="Times New Roman"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2C7"/>
    <w:rsid w:val="00030703"/>
    <w:rsid w:val="00037CBF"/>
    <w:rsid w:val="001039E4"/>
    <w:rsid w:val="00117EB3"/>
    <w:rsid w:val="0014238D"/>
    <w:rsid w:val="001560F8"/>
    <w:rsid w:val="00182A32"/>
    <w:rsid w:val="00182AB3"/>
    <w:rsid w:val="00195C6B"/>
    <w:rsid w:val="002267D0"/>
    <w:rsid w:val="0029783C"/>
    <w:rsid w:val="002D5D08"/>
    <w:rsid w:val="003F1482"/>
    <w:rsid w:val="00432AA5"/>
    <w:rsid w:val="00442E10"/>
    <w:rsid w:val="00455568"/>
    <w:rsid w:val="004A46F5"/>
    <w:rsid w:val="004E02B3"/>
    <w:rsid w:val="004E06CA"/>
    <w:rsid w:val="005535EF"/>
    <w:rsid w:val="00595ECE"/>
    <w:rsid w:val="00701D84"/>
    <w:rsid w:val="007C7DA0"/>
    <w:rsid w:val="008152C4"/>
    <w:rsid w:val="00852F44"/>
    <w:rsid w:val="008A3ADA"/>
    <w:rsid w:val="008B668F"/>
    <w:rsid w:val="00920338"/>
    <w:rsid w:val="009F3323"/>
    <w:rsid w:val="00A45ED7"/>
    <w:rsid w:val="00AA76BD"/>
    <w:rsid w:val="00AE42C7"/>
    <w:rsid w:val="00AF45B0"/>
    <w:rsid w:val="00B22BEE"/>
    <w:rsid w:val="00BF439F"/>
    <w:rsid w:val="00C253C4"/>
    <w:rsid w:val="00C861AF"/>
    <w:rsid w:val="00DB36E0"/>
    <w:rsid w:val="00E63F6A"/>
    <w:rsid w:val="00EE10D8"/>
    <w:rsid w:val="00F12CBB"/>
    <w:rsid w:val="00F91B61"/>
    <w:rsid w:val="00FD23FD"/>
    <w:rsid w:val="00FF27C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8F35EC"/>
  <w14:defaultImageDpi w14:val="0"/>
  <w15:docId w15:val="{0CFA5C48-BB6E-4862-8335-9740BA09E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HAns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2C7"/>
    <w:pPr>
      <w:suppressAutoHyphens/>
      <w:autoSpaceDN w:val="0"/>
      <w:spacing w:line="251" w:lineRule="auto"/>
      <w:textAlignment w:val="baseline"/>
    </w:pPr>
    <w:rPr>
      <w:rFonts w:ascii="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angrado2">
    <w:name w:val="sangrado_2"/>
    <w:basedOn w:val="Normal"/>
    <w:rsid w:val="00AE42C7"/>
    <w:pPr>
      <w:spacing w:before="100" w:after="100" w:line="240" w:lineRule="auto"/>
    </w:pPr>
    <w:rPr>
      <w:rFonts w:ascii="Times New Roman" w:hAnsi="Times New Roman"/>
      <w:sz w:val="24"/>
      <w:szCs w:val="24"/>
      <w:lang w:eastAsia="es-ES"/>
    </w:rPr>
  </w:style>
  <w:style w:type="paragraph" w:customStyle="1" w:styleId="sangrado">
    <w:name w:val="sangrado"/>
    <w:basedOn w:val="Normal"/>
    <w:rsid w:val="00AE42C7"/>
    <w:pPr>
      <w:spacing w:before="100" w:after="100" w:line="240" w:lineRule="auto"/>
    </w:pPr>
    <w:rPr>
      <w:rFonts w:ascii="Times New Roman" w:hAnsi="Times New Roman"/>
      <w:sz w:val="24"/>
      <w:szCs w:val="24"/>
      <w:lang w:eastAsia="es-ES"/>
    </w:rPr>
  </w:style>
  <w:style w:type="paragraph" w:styleId="Prrafodelista">
    <w:name w:val="List Paragraph"/>
    <w:basedOn w:val="Normal"/>
    <w:uiPriority w:val="34"/>
    <w:qFormat/>
    <w:rsid w:val="00E63F6A"/>
    <w:pPr>
      <w:ind w:left="720"/>
      <w:contextualSpacing/>
    </w:pPr>
  </w:style>
  <w:style w:type="character" w:styleId="Hipervnculo">
    <w:name w:val="Hyperlink"/>
    <w:basedOn w:val="Fuentedeprrafopredeter"/>
    <w:uiPriority w:val="99"/>
    <w:unhideWhenUsed/>
    <w:rsid w:val="00E63F6A"/>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20882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oe.es/buscar/act.php?id=BOE-A-2007-20555"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742</Words>
  <Characters>4082</Characters>
  <Application>Microsoft Office Word</Application>
  <DocSecurity>0</DocSecurity>
  <Lines>34</Lines>
  <Paragraphs>9</Paragraphs>
  <ScaleCrop>false</ScaleCrop>
  <Company>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Barluenga</dc:creator>
  <cp:keywords/>
  <dc:description/>
  <cp:lastModifiedBy>maika ausejo</cp:lastModifiedBy>
  <cp:revision>2</cp:revision>
  <cp:lastPrinted>2019-01-11T13:58:00Z</cp:lastPrinted>
  <dcterms:created xsi:type="dcterms:W3CDTF">2020-12-02T13:39:00Z</dcterms:created>
  <dcterms:modified xsi:type="dcterms:W3CDTF">2020-12-02T13:39:00Z</dcterms:modified>
</cp:coreProperties>
</file>